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E4B3" w14:textId="7A4E7AEE" w:rsidR="00A46128" w:rsidRPr="009917EF" w:rsidRDefault="006D3AE9" w:rsidP="007D076E">
      <w:pPr>
        <w:jc w:val="both"/>
        <w:rPr>
          <w:b/>
          <w:bCs/>
        </w:rPr>
      </w:pPr>
      <w:r w:rsidRPr="009917EF">
        <w:rPr>
          <w:b/>
          <w:bCs/>
        </w:rPr>
        <w:t>STEBELNA BOLEZEN KUMAR IN BUČ</w:t>
      </w:r>
      <w:r w:rsidR="00070F9A" w:rsidRPr="009917EF">
        <w:rPr>
          <w:b/>
          <w:bCs/>
        </w:rPr>
        <w:t xml:space="preserve"> (</w:t>
      </w:r>
      <w:r w:rsidR="00070F9A" w:rsidRPr="009917EF">
        <w:rPr>
          <w:b/>
          <w:bCs/>
          <w:i/>
          <w:iCs/>
        </w:rPr>
        <w:t>Stagonosporopsis cucurbitacearum)</w:t>
      </w:r>
    </w:p>
    <w:p w14:paraId="3B58BFD5" w14:textId="77777777" w:rsidR="006D3AE9" w:rsidRDefault="006D3AE9" w:rsidP="007D076E">
      <w:pPr>
        <w:jc w:val="both"/>
      </w:pPr>
    </w:p>
    <w:p w14:paraId="1B327049" w14:textId="49046898" w:rsidR="007D076E" w:rsidRDefault="009917EF" w:rsidP="007D076E">
      <w:pPr>
        <w:jc w:val="both"/>
      </w:pPr>
      <w:r>
        <w:t>Stebelno bolezen kumar in buč povzročajo g</w:t>
      </w:r>
      <w:r w:rsidR="006D3AE9" w:rsidRPr="006D3AE9">
        <w:t>live iz rodu </w:t>
      </w:r>
      <w:r w:rsidR="006D3AE9" w:rsidRPr="006D3AE9">
        <w:rPr>
          <w:i/>
          <w:iCs/>
        </w:rPr>
        <w:t>Stagonosporopsis</w:t>
      </w:r>
      <w:r w:rsidR="007D076E">
        <w:rPr>
          <w:i/>
          <w:iCs/>
        </w:rPr>
        <w:t xml:space="preserve">. </w:t>
      </w:r>
      <w:r w:rsidR="007D076E" w:rsidRPr="007D076E">
        <w:t>Le-te</w:t>
      </w:r>
      <w:r w:rsidR="006D3AE9" w:rsidRPr="007D076E">
        <w:t> </w:t>
      </w:r>
      <w:r w:rsidR="006D3AE9" w:rsidRPr="006D3AE9">
        <w:t xml:space="preserve">se </w:t>
      </w:r>
      <w:r w:rsidR="007D076E">
        <w:t xml:space="preserve">lahko </w:t>
      </w:r>
      <w:r w:rsidR="006D3AE9" w:rsidRPr="006D3AE9">
        <w:t>pojavljajo na buča</w:t>
      </w:r>
      <w:r w:rsidR="007D076E">
        <w:t>h, bučkah</w:t>
      </w:r>
      <w:r w:rsidR="006D3AE9" w:rsidRPr="006D3AE9">
        <w:t xml:space="preserve">, kumarah, melonah in lubenicah. </w:t>
      </w:r>
    </w:p>
    <w:p w14:paraId="319D84A5" w14:textId="537FC50A" w:rsidR="00070F9A" w:rsidRDefault="006D3AE9" w:rsidP="007D076E">
      <w:pPr>
        <w:jc w:val="both"/>
      </w:pPr>
      <w:r w:rsidRPr="006D3AE9">
        <w:t>Znane so tri vrste tega rodu, ki</w:t>
      </w:r>
      <w:r w:rsidR="007D076E">
        <w:t xml:space="preserve"> </w:t>
      </w:r>
      <w:r w:rsidRPr="006D3AE9">
        <w:t>okužujejo bučevke</w:t>
      </w:r>
      <w:r w:rsidR="005A38BF">
        <w:t>.</w:t>
      </w:r>
      <w:r w:rsidRPr="006D3AE9">
        <w:t xml:space="preserve"> </w:t>
      </w:r>
      <w:r w:rsidR="005A38BF">
        <w:t>N</w:t>
      </w:r>
      <w:r w:rsidRPr="006D3AE9">
        <w:t>a kumarah in bučah je najbolj razširjena</w:t>
      </w:r>
      <w:r w:rsidR="007D076E">
        <w:t xml:space="preserve"> </w:t>
      </w:r>
      <w:r w:rsidRPr="006D3AE9">
        <w:t>vrsta </w:t>
      </w:r>
      <w:r w:rsidRPr="006D3AE9">
        <w:rPr>
          <w:i/>
          <w:iCs/>
        </w:rPr>
        <w:t>Stagonosporopsis cucurbitacearum</w:t>
      </w:r>
      <w:r w:rsidRPr="006D3AE9">
        <w:t>, prej bolj znana pod imenom </w:t>
      </w:r>
      <w:r w:rsidRPr="006D3AE9">
        <w:rPr>
          <w:i/>
          <w:iCs/>
        </w:rPr>
        <w:t>Didymella bryoniae</w:t>
      </w:r>
      <w:r w:rsidRPr="006D3AE9">
        <w:t xml:space="preserve">. </w:t>
      </w:r>
    </w:p>
    <w:p w14:paraId="6B0539E0" w14:textId="0A0C7AEC" w:rsidR="006D3AE9" w:rsidRDefault="006D3AE9" w:rsidP="007D076E">
      <w:pPr>
        <w:jc w:val="both"/>
      </w:pPr>
      <w:r w:rsidRPr="006D3AE9">
        <w:t xml:space="preserve">Gliva lahko povzroči že okužbo sejancev, pozneje pa prizadene korenine, stebla, liste in plodove. Največ škode </w:t>
      </w:r>
      <w:r w:rsidR="00045E94">
        <w:t>je pri bučah, na katerih gliva</w:t>
      </w:r>
      <w:r w:rsidRPr="006D3AE9">
        <w:t xml:space="preserve"> povzroči gnitje plodov na polju in tudi še pozneje, če se skladiščijo. Med različnimi tipi buč in tudi med sortami so precejšnje razlike v občutljivosti za to bolezen, ki je v Sloveniji precej pogosta. Pri kumarah obolijo predvsem listi in stebla.</w:t>
      </w:r>
    </w:p>
    <w:p w14:paraId="4362B1EA" w14:textId="55C732E1" w:rsidR="00773758" w:rsidRPr="005A38BF" w:rsidRDefault="00773758" w:rsidP="007D076E">
      <w:pPr>
        <w:jc w:val="both"/>
        <w:rPr>
          <w:b/>
          <w:bCs/>
        </w:rPr>
      </w:pPr>
      <w:r w:rsidRPr="005A38BF">
        <w:rPr>
          <w:b/>
          <w:bCs/>
        </w:rPr>
        <w:t>Bolezenska znamenja</w:t>
      </w:r>
    </w:p>
    <w:p w14:paraId="662F2D14" w14:textId="6A06D657" w:rsidR="00547FAF" w:rsidRDefault="00773758" w:rsidP="007D076E">
      <w:pPr>
        <w:jc w:val="both"/>
      </w:pPr>
      <w:r w:rsidRPr="006D3AE9">
        <w:t xml:space="preserve">Kadar je okuženo že seme, gliva na sejancih kumar povzroči pege na kličnih listih in se </w:t>
      </w:r>
      <w:r w:rsidR="00B63D6A" w:rsidRPr="00B63D6A">
        <w:t xml:space="preserve">pozneje </w:t>
      </w:r>
      <w:r w:rsidRPr="006D3AE9">
        <w:t>širi na prave</w:t>
      </w:r>
      <w:r>
        <w:t xml:space="preserve">. </w:t>
      </w:r>
      <w:r w:rsidR="00CD64CB" w:rsidRPr="00CD64CB">
        <w:t>Na listih s</w:t>
      </w:r>
      <w:r w:rsidR="00070F9A">
        <w:t>o</w:t>
      </w:r>
      <w:r w:rsidR="00CD64CB" w:rsidRPr="00CD64CB">
        <w:t xml:space="preserve"> rjave do črne okrogle lise, ki s</w:t>
      </w:r>
      <w:r w:rsidR="00070F9A">
        <w:t>e običajno</w:t>
      </w:r>
      <w:r w:rsidR="00CD64CB" w:rsidRPr="00CD64CB">
        <w:t xml:space="preserve"> </w:t>
      </w:r>
      <w:r w:rsidR="00070F9A">
        <w:t>pojavijo</w:t>
      </w:r>
      <w:r w:rsidR="00CD64CB" w:rsidRPr="00CD64CB">
        <w:t xml:space="preserve"> </w:t>
      </w:r>
      <w:r w:rsidR="00070F9A">
        <w:t>na</w:t>
      </w:r>
      <w:r w:rsidR="00CD64CB" w:rsidRPr="00CD64CB">
        <w:t xml:space="preserve"> robovi</w:t>
      </w:r>
      <w:r>
        <w:t>h ter se poznej</w:t>
      </w:r>
      <w:r w:rsidR="00B63D6A">
        <w:t>e</w:t>
      </w:r>
      <w:r w:rsidR="00CD64CB" w:rsidRPr="00CD64CB">
        <w:t xml:space="preserve"> širijo proti sredini lista. </w:t>
      </w:r>
    </w:p>
    <w:p w14:paraId="62FCF6FD" w14:textId="77777777" w:rsidR="00547FAF" w:rsidRDefault="00547FAF" w:rsidP="007D076E">
      <w:pPr>
        <w:jc w:val="both"/>
      </w:pPr>
      <w:r>
        <w:rPr>
          <w:noProof/>
        </w:rPr>
        <w:drawing>
          <wp:inline distT="0" distB="0" distL="0" distR="0" wp14:anchorId="3DA63A39" wp14:editId="7AB37D5A">
            <wp:extent cx="3208020" cy="2710883"/>
            <wp:effectExtent l="0" t="0" r="0" b="0"/>
            <wp:docPr id="208503754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19423" cy="2720519"/>
                    </a:xfrm>
                    <a:prstGeom prst="rect">
                      <a:avLst/>
                    </a:prstGeom>
                    <a:noFill/>
                    <a:ln>
                      <a:noFill/>
                    </a:ln>
                  </pic:spPr>
                </pic:pic>
              </a:graphicData>
            </a:graphic>
          </wp:inline>
        </w:drawing>
      </w:r>
      <w:r>
        <w:t xml:space="preserve"> </w:t>
      </w:r>
    </w:p>
    <w:p w14:paraId="6D181E4C" w14:textId="6DD9AAF6" w:rsidR="00547FAF" w:rsidRDefault="00547FAF" w:rsidP="007D076E">
      <w:pPr>
        <w:jc w:val="both"/>
      </w:pPr>
      <w:r>
        <w:t>Slika 1: Bolezenska znamenja »stebelne bolezni« na listu kumar</w:t>
      </w:r>
    </w:p>
    <w:p w14:paraId="2ABB9E45" w14:textId="77777777" w:rsidR="00547FAF" w:rsidRDefault="00547FAF" w:rsidP="007D076E">
      <w:pPr>
        <w:jc w:val="both"/>
      </w:pPr>
    </w:p>
    <w:p w14:paraId="66238C86" w14:textId="77777777" w:rsidR="00547FAF" w:rsidRDefault="00547FAF" w:rsidP="007D076E">
      <w:pPr>
        <w:jc w:val="both"/>
      </w:pPr>
    </w:p>
    <w:p w14:paraId="0600DE5A" w14:textId="7A6CE737" w:rsidR="00617881" w:rsidRDefault="00773758" w:rsidP="007D076E">
      <w:pPr>
        <w:jc w:val="both"/>
      </w:pPr>
      <w:r w:rsidRPr="00773758">
        <w:t>Na steblih se bolezen kaže z oplutenelostjo in spremembo barve</w:t>
      </w:r>
      <w:r>
        <w:t xml:space="preserve">. </w:t>
      </w:r>
      <w:r w:rsidR="00CD64CB" w:rsidRPr="00CD64CB">
        <w:t xml:space="preserve"> </w:t>
      </w:r>
      <w:r w:rsidR="0040074D" w:rsidRPr="0040074D">
        <w:t>Na površini svetlo rjave</w:t>
      </w:r>
      <w:r w:rsidR="00AC052D">
        <w:t xml:space="preserve">ga </w:t>
      </w:r>
      <w:r w:rsidR="0040074D" w:rsidRPr="0040074D">
        <w:t>odmrle</w:t>
      </w:r>
      <w:r w:rsidR="00AC052D">
        <w:t>ga površinskega dela</w:t>
      </w:r>
      <w:r w:rsidR="0040074D" w:rsidRPr="0040074D">
        <w:t xml:space="preserve"> stebla se pojavijo trosišča. T</w:t>
      </w:r>
      <w:r w:rsidR="00AC052D">
        <w:t>a</w:t>
      </w:r>
      <w:r w:rsidR="0040074D" w:rsidRPr="0040074D">
        <w:t xml:space="preserve"> najdemo tudi na odmrlem tkivu listnih peg in na plodovih. Stebla slabše prevajajo vodo in hranila in se, če so močneje okužena, tudi sušijo, še zlasti ko kumare in buče delajo plodove</w:t>
      </w:r>
      <w:r w:rsidR="0040074D">
        <w:t xml:space="preserve">. </w:t>
      </w:r>
    </w:p>
    <w:p w14:paraId="540BBEFE" w14:textId="2C2573BF" w:rsidR="00617881" w:rsidRDefault="00617881" w:rsidP="007D076E">
      <w:pPr>
        <w:jc w:val="both"/>
      </w:pPr>
      <w:r>
        <w:rPr>
          <w:noProof/>
        </w:rPr>
        <w:lastRenderedPageBreak/>
        <w:drawing>
          <wp:inline distT="0" distB="0" distL="0" distR="0" wp14:anchorId="06256348" wp14:editId="230CFA26">
            <wp:extent cx="3718560" cy="3403344"/>
            <wp:effectExtent l="0" t="0" r="0" b="6985"/>
            <wp:docPr id="1487900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32050" cy="3415690"/>
                    </a:xfrm>
                    <a:prstGeom prst="rect">
                      <a:avLst/>
                    </a:prstGeom>
                    <a:noFill/>
                    <a:ln>
                      <a:noFill/>
                    </a:ln>
                  </pic:spPr>
                </pic:pic>
              </a:graphicData>
            </a:graphic>
          </wp:inline>
        </w:drawing>
      </w:r>
      <w:r w:rsidR="00AC052D">
        <w:rPr>
          <w:noProof/>
        </w:rPr>
        <w:drawing>
          <wp:inline distT="0" distB="0" distL="0" distR="0" wp14:anchorId="1DE64BC3" wp14:editId="3EEF30E7">
            <wp:extent cx="3695700" cy="2361143"/>
            <wp:effectExtent l="0" t="0" r="0" b="1270"/>
            <wp:docPr id="76534244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3264" cy="2385142"/>
                    </a:xfrm>
                    <a:prstGeom prst="rect">
                      <a:avLst/>
                    </a:prstGeom>
                    <a:noFill/>
                    <a:ln>
                      <a:noFill/>
                    </a:ln>
                  </pic:spPr>
                </pic:pic>
              </a:graphicData>
            </a:graphic>
          </wp:inline>
        </w:drawing>
      </w:r>
    </w:p>
    <w:p w14:paraId="7496C80B" w14:textId="572BEB9E" w:rsidR="00617881" w:rsidRDefault="00617881" w:rsidP="007D076E">
      <w:pPr>
        <w:jc w:val="both"/>
      </w:pPr>
      <w:r>
        <w:t>Slika 2: Bolezenska znamenja na steblu kumar</w:t>
      </w:r>
      <w:r w:rsidR="00B63D6A">
        <w:t xml:space="preserve"> </w:t>
      </w:r>
      <w:r w:rsidR="00AC052D">
        <w:t xml:space="preserve"> </w:t>
      </w:r>
      <w:r w:rsidR="00B63D6A" w:rsidRPr="00B63D6A">
        <w:rPr>
          <w:i/>
          <w:iCs/>
        </w:rPr>
        <w:t>Stagonosporopsis cucurbitacearum</w:t>
      </w:r>
      <w:r w:rsidR="00B63D6A" w:rsidRPr="00B63D6A">
        <w:t xml:space="preserve"> </w:t>
      </w:r>
      <w:r w:rsidR="00AC052D">
        <w:t xml:space="preserve">(2026) in melon </w:t>
      </w:r>
      <w:r w:rsidR="00B63D6A" w:rsidRPr="00B63D6A">
        <w:rPr>
          <w:i/>
          <w:iCs/>
        </w:rPr>
        <w:t>Stagonosporopsis cucurbitacearum</w:t>
      </w:r>
      <w:r w:rsidR="00B63D6A" w:rsidRPr="00B63D6A">
        <w:t xml:space="preserve"> </w:t>
      </w:r>
      <w:r w:rsidR="00B63D6A">
        <w:t xml:space="preserve">+ fuzarijske glive </w:t>
      </w:r>
      <w:r w:rsidR="00AC052D">
        <w:t>(2020)</w:t>
      </w:r>
    </w:p>
    <w:p w14:paraId="2A239652" w14:textId="17C1D0E2" w:rsidR="00CD64CB" w:rsidRDefault="0040074D" w:rsidP="007D076E">
      <w:pPr>
        <w:jc w:val="both"/>
      </w:pPr>
      <w:r w:rsidRPr="0040074D">
        <w:t>Prva bolezenska znamenja na plodu so pri bučah nekoliko podobna sončnemu ožigu</w:t>
      </w:r>
      <w:r>
        <w:t xml:space="preserve">. </w:t>
      </w:r>
      <w:r w:rsidR="00CD64CB" w:rsidRPr="00CD64CB">
        <w:t xml:space="preserve">Na plodovih </w:t>
      </w:r>
      <w:r w:rsidR="00773758">
        <w:t xml:space="preserve">buč </w:t>
      </w:r>
      <w:r w:rsidR="00CD64CB" w:rsidRPr="00CD64CB">
        <w:t xml:space="preserve">gliva povzroča okrogle, </w:t>
      </w:r>
      <w:r>
        <w:t>vodene</w:t>
      </w:r>
      <w:r w:rsidR="00CD64CB" w:rsidRPr="00CD64CB">
        <w:t xml:space="preserve"> lise, ki se razširijo in lahko dobijo črn, usnjat videz. </w:t>
      </w:r>
      <w:r w:rsidR="007B7ABB">
        <w:t xml:space="preserve">V </w:t>
      </w:r>
      <w:r w:rsidR="00CD64CB" w:rsidRPr="00CD64CB">
        <w:t xml:space="preserve"> središču obolelih peg </w:t>
      </w:r>
      <w:r w:rsidR="007B7ABB">
        <w:t xml:space="preserve">je </w:t>
      </w:r>
      <w:r w:rsidR="00CD64CB" w:rsidRPr="00CD64CB">
        <w:t>običajno lepljiv izloček</w:t>
      </w:r>
      <w:r w:rsidR="007B7ABB">
        <w:t xml:space="preserve"> (tudi pri plodovih kumar)</w:t>
      </w:r>
      <w:r w:rsidR="00CD64CB" w:rsidRPr="00CD64CB">
        <w:t xml:space="preserve">. </w:t>
      </w:r>
    </w:p>
    <w:p w14:paraId="3BD83858" w14:textId="77777777" w:rsidR="00045E94" w:rsidRDefault="00045E94" w:rsidP="0084093E">
      <w:pPr>
        <w:jc w:val="both"/>
        <w:rPr>
          <w:b/>
          <w:bCs/>
        </w:rPr>
      </w:pPr>
    </w:p>
    <w:p w14:paraId="4B43CFEA" w14:textId="1BD45547" w:rsidR="0084093E" w:rsidRPr="0084093E" w:rsidRDefault="0084093E" w:rsidP="0084093E">
      <w:pPr>
        <w:jc w:val="both"/>
        <w:rPr>
          <w:b/>
          <w:bCs/>
        </w:rPr>
      </w:pPr>
      <w:r w:rsidRPr="0084093E">
        <w:rPr>
          <w:b/>
          <w:bCs/>
        </w:rPr>
        <w:t>Razvoj in širjenje bolezni</w:t>
      </w:r>
    </w:p>
    <w:p w14:paraId="038C1E86" w14:textId="77777777" w:rsidR="0084093E" w:rsidRPr="0084093E" w:rsidRDefault="0084093E" w:rsidP="0084093E">
      <w:pPr>
        <w:jc w:val="both"/>
      </w:pPr>
      <w:r w:rsidRPr="0084093E">
        <w:t>Gliva </w:t>
      </w:r>
      <w:r w:rsidRPr="0084093E">
        <w:rPr>
          <w:i/>
          <w:iCs/>
        </w:rPr>
        <w:t xml:space="preserve">Stagonosporossis </w:t>
      </w:r>
      <w:r w:rsidRPr="0084093E">
        <w:t> </w:t>
      </w:r>
      <w:r w:rsidRPr="0084093E">
        <w:rPr>
          <w:i/>
          <w:iCs/>
        </w:rPr>
        <w:t>cucurbitacearum</w:t>
      </w:r>
      <w:r w:rsidRPr="0084093E">
        <w:t xml:space="preserve">  prezimi na okuženih rastlinskih ostankih vsaj dve leti. Ta gliva se lahko prenaša tudi s semeni. Bolezen spodbujajo topli in vlažni pogoji, pri čemer je optimalno temperaturno območje od 20 °C do 24 °C. Za okužbo in sporulacijo je potrebno, da so listi omočeni vsaj 1 uro. V rastni dobi se gliva v vlažnih razmerah večkrat namnoži in povzroča nove okužbe. Iz spolnih in nespolnih trosišč se v vlažnem vremenu sproščajo trosi in se širijo z vodnimi kapljami in vetrom.</w:t>
      </w:r>
    </w:p>
    <w:p w14:paraId="520DDF69" w14:textId="77777777" w:rsidR="007B7ABB" w:rsidRDefault="007B7ABB" w:rsidP="007D076E">
      <w:pPr>
        <w:jc w:val="both"/>
        <w:rPr>
          <w:b/>
          <w:bCs/>
        </w:rPr>
      </w:pPr>
    </w:p>
    <w:p w14:paraId="3C1FFC3B" w14:textId="01771FDC" w:rsidR="006D3AE9" w:rsidRDefault="0084093E" w:rsidP="007D076E">
      <w:pPr>
        <w:jc w:val="both"/>
        <w:rPr>
          <w:b/>
          <w:bCs/>
        </w:rPr>
      </w:pPr>
      <w:r w:rsidRPr="0084093E">
        <w:rPr>
          <w:b/>
          <w:bCs/>
        </w:rPr>
        <w:t>Ukrepi varstva</w:t>
      </w:r>
    </w:p>
    <w:p w14:paraId="445CA53B" w14:textId="257C8304" w:rsidR="0084093E" w:rsidRPr="006D3AE9" w:rsidRDefault="0084093E" w:rsidP="007D076E">
      <w:pPr>
        <w:jc w:val="both"/>
        <w:rPr>
          <w:b/>
          <w:bCs/>
        </w:rPr>
      </w:pPr>
      <w:r>
        <w:rPr>
          <w:b/>
          <w:bCs/>
        </w:rPr>
        <w:t>Nekemični ukrepi:</w:t>
      </w:r>
    </w:p>
    <w:p w14:paraId="321C2B11" w14:textId="4B3A5282" w:rsidR="006D3AE9" w:rsidRPr="006D3AE9" w:rsidRDefault="006D3AE9" w:rsidP="007D076E">
      <w:pPr>
        <w:jc w:val="both"/>
      </w:pPr>
      <w:r w:rsidRPr="006D3AE9">
        <w:t>Sorte bučevk, ki jih gojimo, se glede odpornosti nekoliko razlikujejo, toda odpornih sort ni. Ključna za varstvo pred boleznijo je izbira zdravega semena (prenos s semenom je pogost) in kolobarjenje. Ker so ostanki buč</w:t>
      </w:r>
      <w:r w:rsidR="00AC6383">
        <w:t xml:space="preserve"> in drugih bučevk</w:t>
      </w:r>
      <w:r w:rsidRPr="006D3AE9">
        <w:t xml:space="preserve"> po spravilu </w:t>
      </w:r>
      <w:r w:rsidR="00AC6383">
        <w:t xml:space="preserve">lahko </w:t>
      </w:r>
      <w:r w:rsidRPr="006D3AE9">
        <w:t xml:space="preserve">prerasli z glivo, </w:t>
      </w:r>
      <w:r w:rsidR="00B63D6A">
        <w:t>lahko</w:t>
      </w:r>
      <w:r w:rsidRPr="006D3AE9">
        <w:t xml:space="preserve"> z zadelavo teh ostankov v tla pospeši</w:t>
      </w:r>
      <w:r w:rsidR="00B63D6A">
        <w:t>mo</w:t>
      </w:r>
      <w:r w:rsidRPr="006D3AE9">
        <w:t xml:space="preserve"> njihovo razgradnjo in zmanjša</w:t>
      </w:r>
      <w:r w:rsidR="00B63D6A">
        <w:t>mo</w:t>
      </w:r>
      <w:r w:rsidRPr="006D3AE9">
        <w:t xml:space="preserve"> preživetje glive. Pazimo, da buč, kadar so namenjene skladiščenju, pri spravilu ne poškodujemo. Poškodbe so nova vstopna mesta za okužbo in buče bodo začele gniti.</w:t>
      </w:r>
    </w:p>
    <w:p w14:paraId="31308E20" w14:textId="63A376B4" w:rsidR="009917EF" w:rsidRPr="0084093E" w:rsidRDefault="009917EF" w:rsidP="007D076E">
      <w:pPr>
        <w:jc w:val="both"/>
        <w:rPr>
          <w:b/>
          <w:bCs/>
        </w:rPr>
      </w:pPr>
      <w:r w:rsidRPr="0084093E">
        <w:rPr>
          <w:b/>
          <w:bCs/>
        </w:rPr>
        <w:t>Kemično varstvo</w:t>
      </w:r>
      <w:r w:rsidR="00036D0D" w:rsidRPr="0084093E">
        <w:rPr>
          <w:b/>
          <w:bCs/>
        </w:rPr>
        <w:t xml:space="preserve"> pred listnimi in stebelnimi boleznimi buč, ki jih povzroča gliva  </w:t>
      </w:r>
      <w:r w:rsidR="00036D0D" w:rsidRPr="0084093E">
        <w:rPr>
          <w:b/>
          <w:bCs/>
          <w:i/>
          <w:iCs/>
        </w:rPr>
        <w:t>Stagonosporopsis cucurbitacearum</w:t>
      </w:r>
      <w:r w:rsidRPr="0084093E">
        <w:rPr>
          <w:b/>
          <w:bCs/>
        </w:rPr>
        <w:t>:</w:t>
      </w:r>
    </w:p>
    <w:p w14:paraId="77C6977D" w14:textId="16F454FF" w:rsidR="006D3AE9" w:rsidRDefault="009917EF" w:rsidP="007D076E">
      <w:pPr>
        <w:jc w:val="both"/>
      </w:pPr>
      <w:r>
        <w:t>V kumarah bučkah</w:t>
      </w:r>
      <w:r w:rsidR="00043FEF">
        <w:t>, melonah in lubenicah</w:t>
      </w:r>
      <w:r>
        <w:t xml:space="preserve"> </w:t>
      </w:r>
      <w:r w:rsidR="00F44808">
        <w:t xml:space="preserve">gojenih na prostem </w:t>
      </w:r>
      <w:r>
        <w:t>je registri</w:t>
      </w:r>
      <w:r w:rsidR="00043FEF">
        <w:t>r</w:t>
      </w:r>
      <w:r>
        <w:t>an pripravek</w:t>
      </w:r>
      <w:r w:rsidR="00CD64CB">
        <w:t xml:space="preserve">  Sercadis plus</w:t>
      </w:r>
      <w:r>
        <w:t xml:space="preserve">, ki se lahko uporabi v odmerku 0,6 l/ha. Sercadis plus lahko </w:t>
      </w:r>
      <w:r w:rsidR="00036D0D">
        <w:t xml:space="preserve">v </w:t>
      </w:r>
      <w:r w:rsidR="00043FEF">
        <w:t xml:space="preserve">navedenih </w:t>
      </w:r>
      <w:r w:rsidR="00036D0D">
        <w:t xml:space="preserve"> kulturah na prostem </w:t>
      </w:r>
      <w:r>
        <w:t xml:space="preserve">letno uporabimo </w:t>
      </w:r>
      <w:r w:rsidR="00CD64CB">
        <w:t xml:space="preserve"> največ 3</w:t>
      </w:r>
      <w:r>
        <w:t xml:space="preserve"> krat</w:t>
      </w:r>
      <w:r w:rsidR="00CD64CB">
        <w:t>.</w:t>
      </w:r>
      <w:r w:rsidR="00F44808">
        <w:t xml:space="preserve"> </w:t>
      </w:r>
      <w:r w:rsidR="00F44AAF">
        <w:t>V kumarah za vlaganje gojenih v zaščitenih prostorih so registri</w:t>
      </w:r>
      <w:r w:rsidR="00036D0D">
        <w:t>r</w:t>
      </w:r>
      <w:r w:rsidR="00F44AAF">
        <w:t xml:space="preserve">ani trije pripravki: Sercadis plus, </w:t>
      </w:r>
      <w:r w:rsidR="00036D0D">
        <w:t>O</w:t>
      </w:r>
      <w:r w:rsidR="00F44AAF">
        <w:t xml:space="preserve">rondis evo in Switch 62,5 WG, v solatnih kumarah v zaščitenih prostorih pa Sercadis plus in Orondis evo. </w:t>
      </w:r>
      <w:r w:rsidR="00036D0D">
        <w:t>V bučkah</w:t>
      </w:r>
      <w:r w:rsidR="0084093E">
        <w:t>, melonah in lubenicah</w:t>
      </w:r>
      <w:r w:rsidR="00036D0D">
        <w:t xml:space="preserve"> </w:t>
      </w:r>
      <w:r w:rsidR="0084093E">
        <w:t xml:space="preserve">gojenih </w:t>
      </w:r>
      <w:r w:rsidR="00036D0D">
        <w:t xml:space="preserve">v zaščitenih prostorih sta registrirana Sercadis plus in  Orondis evo. </w:t>
      </w:r>
      <w:r w:rsidR="007D076E" w:rsidRPr="007D076E">
        <w:rPr>
          <w:b/>
          <w:bCs/>
        </w:rPr>
        <w:t>Orondis evo se lahko uporablja samo v buč</w:t>
      </w:r>
      <w:r w:rsidR="00813F6A">
        <w:rPr>
          <w:b/>
          <w:bCs/>
        </w:rPr>
        <w:t>evkah</w:t>
      </w:r>
      <w:r w:rsidR="007D076E" w:rsidRPr="007D076E">
        <w:rPr>
          <w:b/>
          <w:bCs/>
        </w:rPr>
        <w:t xml:space="preserve"> gojenih brez opore.</w:t>
      </w:r>
    </w:p>
    <w:p w14:paraId="1C883EED" w14:textId="77777777" w:rsidR="009917EF" w:rsidRDefault="009917EF"/>
    <w:p w14:paraId="4127757D" w14:textId="455E3CD7" w:rsidR="009917EF" w:rsidRDefault="009917EF">
      <w:r>
        <w:t>Pripravila: Breda Vičar</w:t>
      </w:r>
    </w:p>
    <w:p w14:paraId="7922D5CA" w14:textId="77777777" w:rsidR="009917EF" w:rsidRDefault="009917EF"/>
    <w:p w14:paraId="22E1EF31" w14:textId="3F659685" w:rsidR="009917EF" w:rsidRDefault="009917EF">
      <w:r>
        <w:t>Viri:</w:t>
      </w:r>
    </w:p>
    <w:p w14:paraId="08A43162" w14:textId="77777777" w:rsidR="009917EF" w:rsidRPr="009917EF" w:rsidRDefault="009917EF" w:rsidP="009917EF">
      <w:hyperlink r:id="rId8" w:history="1">
        <w:r w:rsidRPr="009917EF">
          <w:rPr>
            <w:rStyle w:val="Hiperpovezava"/>
          </w:rPr>
          <w:t>https://pnwhandbooks.org/plantdisease/host-disease/cucumber-cucumis-sativus-gummy-stem-blight-vine-decline</w:t>
        </w:r>
      </w:hyperlink>
    </w:p>
    <w:p w14:paraId="0476FAD8" w14:textId="5A73D3EE" w:rsidR="009917EF" w:rsidRDefault="009917EF">
      <w:hyperlink r:id="rId9" w:history="1">
        <w:r w:rsidRPr="00441726">
          <w:rPr>
            <w:rStyle w:val="Hiperpovezava"/>
          </w:rPr>
          <w:t>https://www.gov.si/teme/integrirana-pridelava/</w:t>
        </w:r>
      </w:hyperlink>
    </w:p>
    <w:p w14:paraId="18300C12" w14:textId="5E935563" w:rsidR="00C80987" w:rsidRDefault="00C80987">
      <w:hyperlink r:id="rId10" w:history="1">
        <w:r w:rsidRPr="00A72D64">
          <w:rPr>
            <w:rStyle w:val="Hiperpovezava"/>
          </w:rPr>
          <w:t>https://www.ivr.si/skodljivec/stebelna-bolezen-kumar-in-buc-crna-gniloba-buc/</w:t>
        </w:r>
      </w:hyperlink>
    </w:p>
    <w:p w14:paraId="399DED61" w14:textId="77777777" w:rsidR="00C80987" w:rsidRDefault="00C80987"/>
    <w:p w14:paraId="23B8C3A9" w14:textId="77777777" w:rsidR="009917EF" w:rsidRDefault="009917EF"/>
    <w:sectPr w:rsidR="009917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32687"/>
    <w:multiLevelType w:val="multilevel"/>
    <w:tmpl w:val="9D9E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27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E9"/>
    <w:rsid w:val="00036D0D"/>
    <w:rsid w:val="00043FEF"/>
    <w:rsid w:val="00045E94"/>
    <w:rsid w:val="00070F9A"/>
    <w:rsid w:val="002E127F"/>
    <w:rsid w:val="0040074D"/>
    <w:rsid w:val="004C2CDB"/>
    <w:rsid w:val="00547FAF"/>
    <w:rsid w:val="005A38BF"/>
    <w:rsid w:val="00617881"/>
    <w:rsid w:val="006D3AE9"/>
    <w:rsid w:val="00773758"/>
    <w:rsid w:val="007B7ABB"/>
    <w:rsid w:val="007D076E"/>
    <w:rsid w:val="00813F6A"/>
    <w:rsid w:val="0084093E"/>
    <w:rsid w:val="009619FA"/>
    <w:rsid w:val="009917EF"/>
    <w:rsid w:val="00A46128"/>
    <w:rsid w:val="00AC052D"/>
    <w:rsid w:val="00AC6383"/>
    <w:rsid w:val="00AF4EB6"/>
    <w:rsid w:val="00B63D6A"/>
    <w:rsid w:val="00C6204D"/>
    <w:rsid w:val="00C80987"/>
    <w:rsid w:val="00CD64CB"/>
    <w:rsid w:val="00F44808"/>
    <w:rsid w:val="00F44A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C69D"/>
  <w15:chartTrackingRefBased/>
  <w15:docId w15:val="{20601744-84A2-44B2-B174-E9C19B25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D3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D3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D3AE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D3AE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D3AE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D3AE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D3AE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D3AE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D3AE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D3AE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D3AE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D3AE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D3AE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D3AE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D3AE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D3AE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D3AE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D3AE9"/>
    <w:rPr>
      <w:rFonts w:eastAsiaTheme="majorEastAsia" w:cstheme="majorBidi"/>
      <w:color w:val="272727" w:themeColor="text1" w:themeTint="D8"/>
    </w:rPr>
  </w:style>
  <w:style w:type="paragraph" w:styleId="Naslov">
    <w:name w:val="Title"/>
    <w:basedOn w:val="Navaden"/>
    <w:next w:val="Navaden"/>
    <w:link w:val="NaslovZnak"/>
    <w:uiPriority w:val="10"/>
    <w:qFormat/>
    <w:rsid w:val="006D3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D3AE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D3AE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D3AE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D3AE9"/>
    <w:pPr>
      <w:spacing w:before="160"/>
      <w:jc w:val="center"/>
    </w:pPr>
    <w:rPr>
      <w:i/>
      <w:iCs/>
      <w:color w:val="404040" w:themeColor="text1" w:themeTint="BF"/>
    </w:rPr>
  </w:style>
  <w:style w:type="character" w:customStyle="1" w:styleId="CitatZnak">
    <w:name w:val="Citat Znak"/>
    <w:basedOn w:val="Privzetapisavaodstavka"/>
    <w:link w:val="Citat"/>
    <w:uiPriority w:val="29"/>
    <w:rsid w:val="006D3AE9"/>
    <w:rPr>
      <w:i/>
      <w:iCs/>
      <w:color w:val="404040" w:themeColor="text1" w:themeTint="BF"/>
    </w:rPr>
  </w:style>
  <w:style w:type="paragraph" w:styleId="Odstavekseznama">
    <w:name w:val="List Paragraph"/>
    <w:basedOn w:val="Navaden"/>
    <w:uiPriority w:val="34"/>
    <w:qFormat/>
    <w:rsid w:val="006D3AE9"/>
    <w:pPr>
      <w:ind w:left="720"/>
      <w:contextualSpacing/>
    </w:pPr>
  </w:style>
  <w:style w:type="character" w:styleId="Intenzivenpoudarek">
    <w:name w:val="Intense Emphasis"/>
    <w:basedOn w:val="Privzetapisavaodstavka"/>
    <w:uiPriority w:val="21"/>
    <w:qFormat/>
    <w:rsid w:val="006D3AE9"/>
    <w:rPr>
      <w:i/>
      <w:iCs/>
      <w:color w:val="0F4761" w:themeColor="accent1" w:themeShade="BF"/>
    </w:rPr>
  </w:style>
  <w:style w:type="paragraph" w:styleId="Intenzivencitat">
    <w:name w:val="Intense Quote"/>
    <w:basedOn w:val="Navaden"/>
    <w:next w:val="Navaden"/>
    <w:link w:val="IntenzivencitatZnak"/>
    <w:uiPriority w:val="30"/>
    <w:qFormat/>
    <w:rsid w:val="006D3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D3AE9"/>
    <w:rPr>
      <w:i/>
      <w:iCs/>
      <w:color w:val="0F4761" w:themeColor="accent1" w:themeShade="BF"/>
    </w:rPr>
  </w:style>
  <w:style w:type="character" w:styleId="Intenzivensklic">
    <w:name w:val="Intense Reference"/>
    <w:basedOn w:val="Privzetapisavaodstavka"/>
    <w:uiPriority w:val="32"/>
    <w:qFormat/>
    <w:rsid w:val="006D3AE9"/>
    <w:rPr>
      <w:b/>
      <w:bCs/>
      <w:smallCaps/>
      <w:color w:val="0F4761" w:themeColor="accent1" w:themeShade="BF"/>
      <w:spacing w:val="5"/>
    </w:rPr>
  </w:style>
  <w:style w:type="character" w:styleId="Hiperpovezava">
    <w:name w:val="Hyperlink"/>
    <w:basedOn w:val="Privzetapisavaodstavka"/>
    <w:uiPriority w:val="99"/>
    <w:unhideWhenUsed/>
    <w:rsid w:val="00CD64CB"/>
    <w:rPr>
      <w:color w:val="467886" w:themeColor="hyperlink"/>
      <w:u w:val="single"/>
    </w:rPr>
  </w:style>
  <w:style w:type="character" w:styleId="Nerazreenaomemba">
    <w:name w:val="Unresolved Mention"/>
    <w:basedOn w:val="Privzetapisavaodstavka"/>
    <w:uiPriority w:val="99"/>
    <w:semiHidden/>
    <w:unhideWhenUsed/>
    <w:rsid w:val="00CD6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nwhandbooks.org/plantdisease/host-disease/cucumber-cucumis-sativus-gummy-stem-blight-vine-declin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ivr.si/skodljivec/stebelna-bolezen-kumar-in-buc-crna-gniloba-buc/" TargetMode="External"/><Relationship Id="rId4" Type="http://schemas.openxmlformats.org/officeDocument/2006/relationships/webSettings" Target="webSettings.xml"/><Relationship Id="rId9" Type="http://schemas.openxmlformats.org/officeDocument/2006/relationships/hyperlink" Target="https://www.gov.si/teme/integrirana-pridelav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3</Pages>
  <Words>629</Words>
  <Characters>3588</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Vičar</dc:creator>
  <cp:keywords/>
  <dc:description/>
  <cp:lastModifiedBy>Breda Vičar</cp:lastModifiedBy>
  <cp:revision>7</cp:revision>
  <dcterms:created xsi:type="dcterms:W3CDTF">2026-07-06T12:47:00Z</dcterms:created>
  <dcterms:modified xsi:type="dcterms:W3CDTF">2026-07-14T11:38:00Z</dcterms:modified>
</cp:coreProperties>
</file>